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22E8" w14:textId="77777777" w:rsidR="009F06D3" w:rsidRDefault="00000000">
      <w:pPr>
        <w:pStyle w:val="Balk1"/>
      </w:pPr>
      <w:r>
        <w:t>Yatırım Projelerinin Stratejik Öncelik ve Teknik Değerlendirmesine Dair Tebliğ – Değişiklik Karşılaştırma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7"/>
      </w:tblGrid>
      <w:tr w:rsidR="009F06D3" w14:paraId="410539E9" w14:textId="77777777">
        <w:tc>
          <w:tcPr>
            <w:tcW w:w="2160" w:type="dxa"/>
          </w:tcPr>
          <w:p w14:paraId="250411AC" w14:textId="77777777" w:rsidR="009F06D3" w:rsidRDefault="00000000">
            <w:r>
              <w:t>Madde</w:t>
            </w:r>
          </w:p>
        </w:tc>
        <w:tc>
          <w:tcPr>
            <w:tcW w:w="2160" w:type="dxa"/>
          </w:tcPr>
          <w:p w14:paraId="2826C2D6" w14:textId="77777777" w:rsidR="009F06D3" w:rsidRDefault="00000000">
            <w:r>
              <w:t>Önceki Hüküm</w:t>
            </w:r>
          </w:p>
        </w:tc>
        <w:tc>
          <w:tcPr>
            <w:tcW w:w="2160" w:type="dxa"/>
          </w:tcPr>
          <w:p w14:paraId="720D4CED" w14:textId="77777777" w:rsidR="009F06D3" w:rsidRDefault="00000000">
            <w:r>
              <w:t>Yeni Hüküm / Değişiklik</w:t>
            </w:r>
          </w:p>
        </w:tc>
        <w:tc>
          <w:tcPr>
            <w:tcW w:w="2160" w:type="dxa"/>
          </w:tcPr>
          <w:p w14:paraId="034D215A" w14:textId="77777777" w:rsidR="009F06D3" w:rsidRDefault="00000000">
            <w:r>
              <w:t>Açıklama</w:t>
            </w:r>
          </w:p>
        </w:tc>
      </w:tr>
      <w:tr w:rsidR="009F06D3" w14:paraId="46653F0A" w14:textId="77777777">
        <w:tc>
          <w:tcPr>
            <w:tcW w:w="2160" w:type="dxa"/>
          </w:tcPr>
          <w:p w14:paraId="008B6CAD" w14:textId="77777777" w:rsidR="009F06D3" w:rsidRDefault="00000000">
            <w:r>
              <w:t>Madde 3/1-ç</w:t>
            </w:r>
          </w:p>
        </w:tc>
        <w:tc>
          <w:tcPr>
            <w:tcW w:w="2160" w:type="dxa"/>
          </w:tcPr>
          <w:p w14:paraId="7FD4E8D5" w14:textId="77777777" w:rsidR="009F06D3" w:rsidRDefault="00000000">
            <w:r>
              <w:t>“(ç) …” şeklinde tanım vardı.</w:t>
            </w:r>
          </w:p>
        </w:tc>
        <w:tc>
          <w:tcPr>
            <w:tcW w:w="2160" w:type="dxa"/>
          </w:tcPr>
          <w:p w14:paraId="25F5383B" w14:textId="77777777" w:rsidR="009F06D3" w:rsidRDefault="00000000">
            <w:r>
              <w:t>Bu bent yürürlükten kaldırıldı.</w:t>
            </w:r>
          </w:p>
        </w:tc>
        <w:tc>
          <w:tcPr>
            <w:tcW w:w="2160" w:type="dxa"/>
          </w:tcPr>
          <w:p w14:paraId="4B7AF065" w14:textId="77777777" w:rsidR="009F06D3" w:rsidRDefault="00000000">
            <w:r>
              <w:t>Önceki ç bendinin tanımı tamamen çıkarıldı.</w:t>
            </w:r>
          </w:p>
        </w:tc>
      </w:tr>
      <w:tr w:rsidR="009F06D3" w14:paraId="7CD49CCC" w14:textId="77777777">
        <w:tc>
          <w:tcPr>
            <w:tcW w:w="2160" w:type="dxa"/>
          </w:tcPr>
          <w:p w14:paraId="35302F23" w14:textId="77777777" w:rsidR="009F06D3" w:rsidRDefault="00000000">
            <w:r>
              <w:t>Madde 3/1-j (Yeni)</w:t>
            </w:r>
          </w:p>
        </w:tc>
        <w:tc>
          <w:tcPr>
            <w:tcW w:w="2160" w:type="dxa"/>
          </w:tcPr>
          <w:p w14:paraId="148D16A7" w14:textId="77777777" w:rsidR="009F06D3" w:rsidRDefault="00000000">
            <w:r>
              <w:t>Yoktu.</w:t>
            </w:r>
          </w:p>
        </w:tc>
        <w:tc>
          <w:tcPr>
            <w:tcW w:w="2160" w:type="dxa"/>
          </w:tcPr>
          <w:p w14:paraId="03AABC58" w14:textId="77777777" w:rsidR="009F06D3" w:rsidRDefault="00000000">
            <w:r>
              <w:t>“TSP Belgesi: Finansman başvurusu yapılan yatırım projeleri için Teknik Komite tarafından yapılan değerlendirme sonucunu bildirir Yatırım Projesi Teknoloji/Strateji Puanı Bildirim Belgesi” tanımı eklendi.</w:t>
            </w:r>
          </w:p>
        </w:tc>
        <w:tc>
          <w:tcPr>
            <w:tcW w:w="2160" w:type="dxa"/>
          </w:tcPr>
          <w:p w14:paraId="48082DDF" w14:textId="77777777" w:rsidR="009F06D3" w:rsidRDefault="00000000">
            <w:r>
              <w:t>TSP Belgesi kavramı sisteme dahil edildi.</w:t>
            </w:r>
          </w:p>
        </w:tc>
      </w:tr>
      <w:tr w:rsidR="009F06D3" w14:paraId="40B28723" w14:textId="77777777">
        <w:tc>
          <w:tcPr>
            <w:tcW w:w="2160" w:type="dxa"/>
          </w:tcPr>
          <w:p w14:paraId="039047AF" w14:textId="77777777" w:rsidR="009F06D3" w:rsidRDefault="00000000">
            <w:r>
              <w:t>Madde 4</w:t>
            </w:r>
          </w:p>
        </w:tc>
        <w:tc>
          <w:tcPr>
            <w:tcW w:w="2160" w:type="dxa"/>
          </w:tcPr>
          <w:p w14:paraId="511AA491" w14:textId="77777777" w:rsidR="009F06D3" w:rsidRDefault="00000000">
            <w:r>
              <w:t>Finansman başvuru süreci daha genel tanımlanmıştı. TSP Belgesi yoktu.</w:t>
            </w:r>
          </w:p>
        </w:tc>
        <w:tc>
          <w:tcPr>
            <w:tcW w:w="2160" w:type="dxa"/>
          </w:tcPr>
          <w:p w14:paraId="06283E06" w14:textId="77777777" w:rsidR="009F06D3" w:rsidRDefault="00000000">
            <w:r>
              <w:t xml:space="preserve">Tüm madde değiştirildi. - Başvurular yalnızca belirli teşvik belgesi sahipleri veya stratejik/teknoloji alanı projeleri yapacak olanlara açık. - Teşvik belgesi olmayanlar da b bendi kapsamındaysa başvurabilir. - Bakanlık değerlendirmesi sonrası TSP Belgesi ile bankaya başvuru şartı getirildi. - Başvurular elektronik portal üzerinden yapılacak. - Asgari yatırım tutarı: ≥1 milyar TL, özkaynak/ödenmiş sermaye ≥50 milyon TL. - Faiz/kâr payı desteği yok. - </w:t>
            </w:r>
            <w:r>
              <w:lastRenderedPageBreak/>
              <w:t>Stratejik stok yatırımları proje büyüklüğüne dahil edilebilir.</w:t>
            </w:r>
          </w:p>
        </w:tc>
        <w:tc>
          <w:tcPr>
            <w:tcW w:w="2160" w:type="dxa"/>
          </w:tcPr>
          <w:p w14:paraId="50E01C82" w14:textId="77777777" w:rsidR="009F06D3" w:rsidRDefault="00000000">
            <w:r>
              <w:lastRenderedPageBreak/>
              <w:t>En kapsamlı değişiklik. Başvuru süreci, şartlar ve TSP Belgesi zorunluluğu netleşti.</w:t>
            </w:r>
          </w:p>
        </w:tc>
      </w:tr>
      <w:tr w:rsidR="009F06D3" w14:paraId="4C51F909" w14:textId="77777777">
        <w:tc>
          <w:tcPr>
            <w:tcW w:w="2160" w:type="dxa"/>
          </w:tcPr>
          <w:p w14:paraId="1BF71060" w14:textId="77777777" w:rsidR="009F06D3" w:rsidRDefault="00000000">
            <w:r>
              <w:t>Madde 5/5</w:t>
            </w:r>
          </w:p>
        </w:tc>
        <w:tc>
          <w:tcPr>
            <w:tcW w:w="2160" w:type="dxa"/>
          </w:tcPr>
          <w:p w14:paraId="703BF15D" w14:textId="77777777" w:rsidR="009F06D3" w:rsidRDefault="00000000">
            <w:r>
              <w:t>TSP Belgesi yoktu, dolayısıyla böyle bir hüküm yoktu.</w:t>
            </w:r>
          </w:p>
        </w:tc>
        <w:tc>
          <w:tcPr>
            <w:tcW w:w="2160" w:type="dxa"/>
          </w:tcPr>
          <w:p w14:paraId="46A7695B" w14:textId="77777777" w:rsidR="009F06D3" w:rsidRDefault="00000000">
            <w:r>
              <w:t>“Bakanlık tarafından oluşturulan TSP Belgesi, finansman hakkı doğurmaz ve bankaları yükümlülük altına sokmaz.”</w:t>
            </w:r>
          </w:p>
        </w:tc>
        <w:tc>
          <w:tcPr>
            <w:tcW w:w="2160" w:type="dxa"/>
          </w:tcPr>
          <w:p w14:paraId="1F81A98B" w14:textId="77777777" w:rsidR="009F06D3" w:rsidRDefault="00000000">
            <w:r>
              <w:t>TSP Belgesinin hukuki niteliği netleştirildi.</w:t>
            </w:r>
          </w:p>
        </w:tc>
      </w:tr>
      <w:tr w:rsidR="009F06D3" w14:paraId="5E561B3E" w14:textId="77777777">
        <w:tc>
          <w:tcPr>
            <w:tcW w:w="2160" w:type="dxa"/>
          </w:tcPr>
          <w:p w14:paraId="7FCBA94E" w14:textId="77777777" w:rsidR="009F06D3" w:rsidRDefault="00000000">
            <w:r>
              <w:t>Üçüncü Bölüm Başlığı</w:t>
            </w:r>
          </w:p>
        </w:tc>
        <w:tc>
          <w:tcPr>
            <w:tcW w:w="2160" w:type="dxa"/>
          </w:tcPr>
          <w:p w14:paraId="432B09C6" w14:textId="77777777" w:rsidR="009F06D3" w:rsidRDefault="00000000">
            <w:r>
              <w:t>İzleme</w:t>
            </w:r>
          </w:p>
        </w:tc>
        <w:tc>
          <w:tcPr>
            <w:tcW w:w="2160" w:type="dxa"/>
          </w:tcPr>
          <w:p w14:paraId="6522D542" w14:textId="77777777" w:rsidR="009F06D3" w:rsidRDefault="00000000">
            <w:r>
              <w:t>İzleme ve Revizyon</w:t>
            </w:r>
          </w:p>
        </w:tc>
        <w:tc>
          <w:tcPr>
            <w:tcW w:w="2160" w:type="dxa"/>
          </w:tcPr>
          <w:p w14:paraId="045C2723" w14:textId="77777777" w:rsidR="009F06D3" w:rsidRDefault="00000000">
            <w:r>
              <w:t>Revizyon süreci eklendiği için başlık genişletildi.</w:t>
            </w:r>
          </w:p>
        </w:tc>
      </w:tr>
      <w:tr w:rsidR="009F06D3" w14:paraId="5E702BE0" w14:textId="77777777">
        <w:tc>
          <w:tcPr>
            <w:tcW w:w="2160" w:type="dxa"/>
          </w:tcPr>
          <w:p w14:paraId="285FF5D6" w14:textId="77777777" w:rsidR="009F06D3" w:rsidRDefault="00000000">
            <w:r>
              <w:t>Yeni Madde 6/A (Revizyon)</w:t>
            </w:r>
          </w:p>
        </w:tc>
        <w:tc>
          <w:tcPr>
            <w:tcW w:w="2160" w:type="dxa"/>
          </w:tcPr>
          <w:p w14:paraId="0466E431" w14:textId="77777777" w:rsidR="009F06D3" w:rsidRDefault="00000000">
            <w:r>
              <w:t>Yoktu.</w:t>
            </w:r>
          </w:p>
        </w:tc>
        <w:tc>
          <w:tcPr>
            <w:tcW w:w="2160" w:type="dxa"/>
          </w:tcPr>
          <w:p w14:paraId="7A4CF048" w14:textId="77777777" w:rsidR="009F06D3" w:rsidRDefault="00000000">
            <w:r>
              <w:t>Yatırımcı en fazla iki revizyon talebinde bulunabilir. İki talep arasında en az 6 ay olmalı. Talep, gerekçeler ve teşvik belgesi dikkate alınarak Teknik Komite uygun görürse güncelleme yapılır.</w:t>
            </w:r>
          </w:p>
        </w:tc>
        <w:tc>
          <w:tcPr>
            <w:tcW w:w="2160" w:type="dxa"/>
          </w:tcPr>
          <w:p w14:paraId="74AAFB1B" w14:textId="77777777" w:rsidR="009F06D3" w:rsidRDefault="00000000">
            <w:r>
              <w:t>TSP Belgesi için revizyon hakkı getirildi.</w:t>
            </w:r>
          </w:p>
        </w:tc>
      </w:tr>
      <w:tr w:rsidR="009F06D3" w14:paraId="7B92D732" w14:textId="77777777">
        <w:tc>
          <w:tcPr>
            <w:tcW w:w="2160" w:type="dxa"/>
          </w:tcPr>
          <w:p w14:paraId="10500DF7" w14:textId="77777777" w:rsidR="009F06D3" w:rsidRDefault="00000000">
            <w:r>
              <w:t>Geçici Madde 1 (Yeni)</w:t>
            </w:r>
          </w:p>
        </w:tc>
        <w:tc>
          <w:tcPr>
            <w:tcW w:w="2160" w:type="dxa"/>
          </w:tcPr>
          <w:p w14:paraId="6A346B2F" w14:textId="77777777" w:rsidR="009F06D3" w:rsidRDefault="00000000">
            <w:r>
              <w:t>Yoktu.</w:t>
            </w:r>
          </w:p>
        </w:tc>
        <w:tc>
          <w:tcPr>
            <w:tcW w:w="2160" w:type="dxa"/>
          </w:tcPr>
          <w:p w14:paraId="7800DB96" w14:textId="77777777" w:rsidR="009F06D3" w:rsidRDefault="00000000">
            <w:r>
              <w:t>Daha önce (2012/3305) kararına göre Teknoloji Odaklı Sanayi Hamlesi Programı kapsamında teşvik alan projeler de başvurabilir. Revizyon maddesi (6/A) eski revizyon taleplerine de uygulanır.</w:t>
            </w:r>
          </w:p>
        </w:tc>
        <w:tc>
          <w:tcPr>
            <w:tcW w:w="2160" w:type="dxa"/>
          </w:tcPr>
          <w:p w14:paraId="53F510D0" w14:textId="77777777" w:rsidR="009F06D3" w:rsidRDefault="00000000">
            <w:r>
              <w:t>Geçiş dönemi için başvuru imkanı sağlandı.</w:t>
            </w:r>
          </w:p>
        </w:tc>
      </w:tr>
      <w:tr w:rsidR="009F06D3" w14:paraId="1C340F99" w14:textId="77777777">
        <w:tc>
          <w:tcPr>
            <w:tcW w:w="2160" w:type="dxa"/>
          </w:tcPr>
          <w:p w14:paraId="4B569EFC" w14:textId="77777777" w:rsidR="009F06D3" w:rsidRDefault="00000000">
            <w:r>
              <w:t>Madde 7</w:t>
            </w:r>
          </w:p>
        </w:tc>
        <w:tc>
          <w:tcPr>
            <w:tcW w:w="2160" w:type="dxa"/>
          </w:tcPr>
          <w:p w14:paraId="551E1345" w14:textId="77777777" w:rsidR="009F06D3" w:rsidRDefault="00000000">
            <w:r>
              <w:t>Yayım tarihi belirtilmemişti.</w:t>
            </w:r>
          </w:p>
        </w:tc>
        <w:tc>
          <w:tcPr>
            <w:tcW w:w="2160" w:type="dxa"/>
          </w:tcPr>
          <w:p w14:paraId="7DD62337" w14:textId="77777777" w:rsidR="009F06D3" w:rsidRDefault="00000000">
            <w:r>
              <w:t>Tebliğ yayımı tarihinde yürürlüğe girer.</w:t>
            </w:r>
          </w:p>
        </w:tc>
        <w:tc>
          <w:tcPr>
            <w:tcW w:w="2160" w:type="dxa"/>
          </w:tcPr>
          <w:p w14:paraId="1B11FD6D" w14:textId="77777777" w:rsidR="009F06D3" w:rsidRDefault="00000000">
            <w:r>
              <w:t>Yürürlük tarihi netleştirildi.</w:t>
            </w:r>
          </w:p>
        </w:tc>
      </w:tr>
      <w:tr w:rsidR="009F06D3" w14:paraId="6885FDCE" w14:textId="77777777">
        <w:tc>
          <w:tcPr>
            <w:tcW w:w="2160" w:type="dxa"/>
          </w:tcPr>
          <w:p w14:paraId="1447219F" w14:textId="77777777" w:rsidR="009F06D3" w:rsidRDefault="00000000">
            <w:r>
              <w:t>Madde 8</w:t>
            </w:r>
          </w:p>
        </w:tc>
        <w:tc>
          <w:tcPr>
            <w:tcW w:w="2160" w:type="dxa"/>
          </w:tcPr>
          <w:p w14:paraId="07E19DB8" w14:textId="77777777" w:rsidR="009F06D3" w:rsidRDefault="00000000">
            <w:r>
              <w:t>Yürütme maddesi önceki şekildeydi.</w:t>
            </w:r>
          </w:p>
        </w:tc>
        <w:tc>
          <w:tcPr>
            <w:tcW w:w="2160" w:type="dxa"/>
          </w:tcPr>
          <w:p w14:paraId="756C3DDC" w14:textId="77777777" w:rsidR="009F06D3" w:rsidRDefault="00000000">
            <w:r>
              <w:t>Bu Tebliğ hükümlerini Sanayi ve Teknoloji Bakanı yürütür.</w:t>
            </w:r>
          </w:p>
        </w:tc>
        <w:tc>
          <w:tcPr>
            <w:tcW w:w="2160" w:type="dxa"/>
          </w:tcPr>
          <w:p w14:paraId="548E0C98" w14:textId="77777777" w:rsidR="009F06D3" w:rsidRDefault="00000000">
            <w:r>
              <w:t>Yürütme yetkisi aynı ancak tekrar teyit edilmiş.</w:t>
            </w:r>
          </w:p>
        </w:tc>
      </w:tr>
    </w:tbl>
    <w:p w14:paraId="7766B8D3" w14:textId="77777777" w:rsidR="00756E24" w:rsidRDefault="00756E24"/>
    <w:sectPr w:rsidR="00756E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5982877">
    <w:abstractNumId w:val="8"/>
  </w:num>
  <w:num w:numId="2" w16cid:durableId="994647106">
    <w:abstractNumId w:val="6"/>
  </w:num>
  <w:num w:numId="3" w16cid:durableId="1546479947">
    <w:abstractNumId w:val="5"/>
  </w:num>
  <w:num w:numId="4" w16cid:durableId="1444837876">
    <w:abstractNumId w:val="4"/>
  </w:num>
  <w:num w:numId="5" w16cid:durableId="509369373">
    <w:abstractNumId w:val="7"/>
  </w:num>
  <w:num w:numId="6" w16cid:durableId="1765491605">
    <w:abstractNumId w:val="3"/>
  </w:num>
  <w:num w:numId="7" w16cid:durableId="1867055830">
    <w:abstractNumId w:val="2"/>
  </w:num>
  <w:num w:numId="8" w16cid:durableId="1780372791">
    <w:abstractNumId w:val="1"/>
  </w:num>
  <w:num w:numId="9" w16cid:durableId="94761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534D"/>
    <w:rsid w:val="0015074B"/>
    <w:rsid w:val="0029639D"/>
    <w:rsid w:val="00326F90"/>
    <w:rsid w:val="003E3545"/>
    <w:rsid w:val="005E3E18"/>
    <w:rsid w:val="00756E24"/>
    <w:rsid w:val="0085215D"/>
    <w:rsid w:val="009F06D3"/>
    <w:rsid w:val="00AA1D8D"/>
    <w:rsid w:val="00B47730"/>
    <w:rsid w:val="00CB0664"/>
    <w:rsid w:val="00ED7E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B54700"/>
  <w14:defaultImageDpi w14:val="300"/>
  <w15:docId w15:val="{E01C1B3D-88E2-400B-AF53-11BF7BD0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Oğuz Bozan</cp:lastModifiedBy>
  <cp:revision>2</cp:revision>
  <dcterms:created xsi:type="dcterms:W3CDTF">2025-08-12T07:50:00Z</dcterms:created>
  <dcterms:modified xsi:type="dcterms:W3CDTF">2025-08-12T07:50:00Z</dcterms:modified>
  <cp:category/>
</cp:coreProperties>
</file>