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75A4" w14:textId="77777777" w:rsidR="00634C02" w:rsidRPr="00634C02" w:rsidRDefault="00634C02" w:rsidP="00634C02"/>
    <w:p w14:paraId="1FE2CFD9" w14:textId="77777777" w:rsidR="00634C02" w:rsidRPr="00634C02" w:rsidRDefault="00634C02" w:rsidP="00634C02">
      <w:r w:rsidRPr="00634C02">
        <w:t xml:space="preserve"> </w:t>
      </w:r>
    </w:p>
    <w:p w14:paraId="5B4C854F" w14:textId="14CDFAE0" w:rsidR="00634C02" w:rsidRPr="00634C02" w:rsidRDefault="00634C02" w:rsidP="00634C02">
      <w:r w:rsidRPr="00634C02">
        <w:rPr>
          <w:b/>
          <w:bCs/>
        </w:rPr>
        <w:t xml:space="preserve">Firmaların Yurt Dışı Kaynaklı Dövizlerinin Türk </w:t>
      </w:r>
      <w:proofErr w:type="gramStart"/>
      <w:r w:rsidRPr="00634C02">
        <w:rPr>
          <w:b/>
          <w:bCs/>
        </w:rPr>
        <w:t>Lirasına</w:t>
      </w:r>
      <w:proofErr w:type="gramEnd"/>
      <w:r w:rsidRPr="00634C02">
        <w:rPr>
          <w:b/>
          <w:bCs/>
        </w:rPr>
        <w:t xml:space="preserve"> Dönüşümünün</w:t>
      </w:r>
      <w:r>
        <w:rPr>
          <w:b/>
          <w:bCs/>
        </w:rPr>
        <w:t xml:space="preserve"> </w:t>
      </w:r>
      <w:r w:rsidRPr="00634C02">
        <w:rPr>
          <w:b/>
          <w:bCs/>
        </w:rPr>
        <w:t>Desteklenmesi Hakkında Tebliğ (Sayı: 2023/5) (26.01.2023 t. 32085 s. R.G.)</w:t>
      </w:r>
    </w:p>
    <w:p w14:paraId="21A31180" w14:textId="77777777" w:rsidR="00634C02" w:rsidRPr="00634C02" w:rsidRDefault="00634C02" w:rsidP="00634C02">
      <w:r w:rsidRPr="00634C02">
        <w:t>Türkiye Cumhuriyet Merkez Bankasından:</w:t>
      </w:r>
    </w:p>
    <w:p w14:paraId="07E32143" w14:textId="77777777" w:rsidR="00634C02" w:rsidRPr="00634C02" w:rsidRDefault="00634C02" w:rsidP="00634C02"/>
    <w:p w14:paraId="2F7FBEF0" w14:textId="77777777" w:rsidR="00634C02" w:rsidRPr="00985D5C" w:rsidRDefault="00634C02" w:rsidP="00634C02">
      <w:pPr>
        <w:rPr>
          <w:b/>
          <w:bCs/>
        </w:rPr>
      </w:pPr>
      <w:r w:rsidRPr="00985D5C">
        <w:rPr>
          <w:b/>
          <w:bCs/>
        </w:rPr>
        <w:t>Amaç ve kapsam</w:t>
      </w:r>
    </w:p>
    <w:p w14:paraId="30275B88" w14:textId="009CB100" w:rsidR="00985D5C" w:rsidRDefault="00634C02" w:rsidP="00634C02">
      <w:r w:rsidRPr="00634C02">
        <w:rPr>
          <w:b/>
          <w:bCs/>
        </w:rPr>
        <w:t xml:space="preserve">MADDE 1- </w:t>
      </w:r>
      <w:r w:rsidRPr="00634C02">
        <w:t>(1) Bu Tebliğin amacı, firmaların Merkez Bankasınca belirlenecek yurt dışı kaynaklı dövizlerinin</w:t>
      </w:r>
      <w:r w:rsidR="00985D5C">
        <w:t xml:space="preserve"> </w:t>
      </w:r>
      <w:r w:rsidRPr="00634C02">
        <w:t>Merkez Bankasına satılması halinde firmalara sağlanacak desteğe ilişkin usul ve esasları düzenlemektir.</w:t>
      </w:r>
    </w:p>
    <w:p w14:paraId="52CCCE7C" w14:textId="376B72FE" w:rsidR="00634C02" w:rsidRPr="00634C02" w:rsidRDefault="00634C02" w:rsidP="00634C02">
      <w:r w:rsidRPr="00634C02">
        <w:t>Dayanak</w:t>
      </w:r>
    </w:p>
    <w:p w14:paraId="161A47F6" w14:textId="089ACA2A" w:rsidR="00634C02" w:rsidRPr="00634C02" w:rsidRDefault="00634C02" w:rsidP="00634C02">
      <w:r w:rsidRPr="00634C02">
        <w:rPr>
          <w:b/>
          <w:bCs/>
        </w:rPr>
        <w:t>MADDE 2</w:t>
      </w:r>
      <w:r w:rsidRPr="00634C02">
        <w:t xml:space="preserve">- (1) Bu Tebliğ, 14/1/1970 tarihli ve 1211 sayılı Türkiye Cumhuriyet Merkez Bankası Kanununun </w:t>
      </w:r>
      <w:proofErr w:type="gramStart"/>
      <w:r w:rsidRPr="00634C02">
        <w:t>4 üncü</w:t>
      </w:r>
      <w:proofErr w:type="gramEnd"/>
      <w:r w:rsidR="00985D5C">
        <w:t xml:space="preserve"> </w:t>
      </w:r>
      <w:r w:rsidRPr="00634C02">
        <w:t>maddesinin üçüncü fıkrasının (I) numaralı bendinin (b) ve (g) alt bentleri ile 19/10/2005 tarihli ve 5411 sayılı</w:t>
      </w:r>
      <w:r w:rsidR="00985D5C">
        <w:t xml:space="preserve"> </w:t>
      </w:r>
      <w:r w:rsidRPr="00634C02">
        <w:t xml:space="preserve">Bankacılık Kanununun </w:t>
      </w:r>
      <w:proofErr w:type="gramStart"/>
      <w:r w:rsidRPr="00634C02">
        <w:t>144 üncü</w:t>
      </w:r>
      <w:proofErr w:type="gramEnd"/>
      <w:r w:rsidRPr="00634C02">
        <w:t xml:space="preserve"> maddesine dayanılarak hazırlanmıştır.</w:t>
      </w:r>
    </w:p>
    <w:p w14:paraId="094764D7" w14:textId="77777777" w:rsidR="00634C02" w:rsidRPr="00634C02" w:rsidRDefault="00634C02" w:rsidP="00634C02"/>
    <w:p w14:paraId="12F42FA0" w14:textId="77777777" w:rsidR="00634C02" w:rsidRPr="00985D5C" w:rsidRDefault="00634C02" w:rsidP="00634C02">
      <w:pPr>
        <w:rPr>
          <w:b/>
          <w:bCs/>
        </w:rPr>
      </w:pPr>
      <w:r w:rsidRPr="00985D5C">
        <w:rPr>
          <w:b/>
          <w:bCs/>
        </w:rPr>
        <w:t>Tanımlar ve kısaltmalar</w:t>
      </w:r>
    </w:p>
    <w:p w14:paraId="3CD3C459" w14:textId="77777777" w:rsidR="00634C02" w:rsidRPr="00634C02" w:rsidRDefault="00634C02" w:rsidP="00634C02">
      <w:r w:rsidRPr="00634C02">
        <w:rPr>
          <w:b/>
          <w:bCs/>
        </w:rPr>
        <w:t xml:space="preserve">MADDE 3- </w:t>
      </w:r>
      <w:r w:rsidRPr="00634C02">
        <w:t>(1) Bu Tebliğde geçen;</w:t>
      </w:r>
    </w:p>
    <w:p w14:paraId="23205F27" w14:textId="70EF4167" w:rsidR="00634C02" w:rsidRPr="00634C02" w:rsidRDefault="00634C02" w:rsidP="00634C02">
      <w:r w:rsidRPr="00634C02">
        <w:rPr>
          <w:b/>
          <w:bCs/>
        </w:rPr>
        <w:t xml:space="preserve">a) Banka: </w:t>
      </w:r>
      <w:r w:rsidRPr="00634C02">
        <w:t xml:space="preserve">19/10/2005 tarihli ve 5411 sayılı Bankacılık Kanununun </w:t>
      </w:r>
      <w:proofErr w:type="gramStart"/>
      <w:r w:rsidRPr="00634C02">
        <w:t>3 üncü</w:t>
      </w:r>
      <w:proofErr w:type="gramEnd"/>
      <w:r w:rsidRPr="00634C02">
        <w:t xml:space="preserve"> maddesinde tanımlanan bankaları,</w:t>
      </w:r>
    </w:p>
    <w:p w14:paraId="2BEF2653" w14:textId="7FCBA0C8" w:rsidR="00634C02" w:rsidRPr="00634C02" w:rsidRDefault="00634C02" w:rsidP="00634C02">
      <w:r w:rsidRPr="00634C02">
        <w:rPr>
          <w:b/>
          <w:bCs/>
        </w:rPr>
        <w:t xml:space="preserve">b) Dönüşüm kuru: </w:t>
      </w:r>
      <w:r w:rsidRPr="00634C02">
        <w:t>Dövizin Merkez Bankasına satıldığı veya döviz tevdiat hesapları ile döviz cinsinden katılım fonu</w:t>
      </w:r>
      <w:r w:rsidR="00985D5C">
        <w:t xml:space="preserve"> </w:t>
      </w:r>
      <w:r w:rsidRPr="00634C02">
        <w:t>hesaplarında bulunan dövizin Türk lirasına dönüştürüldüğü gün Merkez Bankasınca belirlenecek usul ve esaslara</w:t>
      </w:r>
      <w:r w:rsidR="00985D5C">
        <w:t xml:space="preserve"> </w:t>
      </w:r>
      <w:r w:rsidRPr="00634C02">
        <w:t>göre ilan edilen döviz alış kurunu,</w:t>
      </w:r>
    </w:p>
    <w:p w14:paraId="109DF8C0" w14:textId="41E41D64" w:rsidR="00634C02" w:rsidRPr="00634C02" w:rsidRDefault="00634C02" w:rsidP="00634C02">
      <w:r w:rsidRPr="00634C02">
        <w:rPr>
          <w:b/>
          <w:bCs/>
        </w:rPr>
        <w:t xml:space="preserve">c) Firmalar: </w:t>
      </w:r>
      <w:r w:rsidRPr="00634C02">
        <w:t>Bankalar ve Merkez Bankasınca belirlenen diğer mali kuruluşlar hariç olmak üzere Türkiye'de kanuni</w:t>
      </w:r>
      <w:r w:rsidR="00985D5C">
        <w:t xml:space="preserve"> </w:t>
      </w:r>
      <w:r w:rsidRPr="00634C02">
        <w:t>yerleşim yeri bulunan tüzel kişiliği haiz firmaları,</w:t>
      </w:r>
    </w:p>
    <w:p w14:paraId="175C92E1" w14:textId="77777777" w:rsidR="00634C02" w:rsidRPr="00634C02" w:rsidRDefault="00634C02" w:rsidP="00634C02">
      <w:proofErr w:type="gramStart"/>
      <w:r w:rsidRPr="00634C02">
        <w:rPr>
          <w:b/>
          <w:bCs/>
        </w:rPr>
        <w:t>ç</w:t>
      </w:r>
      <w:proofErr w:type="gramEnd"/>
      <w:r w:rsidRPr="00634C02">
        <w:rPr>
          <w:b/>
          <w:bCs/>
        </w:rPr>
        <w:t xml:space="preserve">) Merkez Bankası: </w:t>
      </w:r>
      <w:r w:rsidRPr="00634C02">
        <w:t>Türkiye Cumhuriyet Merkez Bankasını,</w:t>
      </w:r>
    </w:p>
    <w:p w14:paraId="557B6CE5" w14:textId="600FF3ED" w:rsidR="00634C02" w:rsidRPr="00634C02" w:rsidRDefault="00634C02" w:rsidP="00634C02">
      <w:r w:rsidRPr="00634C02">
        <w:rPr>
          <w:b/>
          <w:bCs/>
        </w:rPr>
        <w:t xml:space="preserve">d) Yurt dışı kaynaklı döviz: </w:t>
      </w:r>
      <w:r w:rsidRPr="00634C02">
        <w:t>Yabancılara yurt içinde sunulan hizmetler karşılığında kazanılan döviz tutarları da</w:t>
      </w:r>
      <w:r w:rsidR="00985D5C">
        <w:t xml:space="preserve"> </w:t>
      </w:r>
      <w:r w:rsidRPr="00634C02">
        <w:t>dahil olmak üzere firmaların yurt dışında yerleşiklerden elde ettikleri ve kapsamı Merkez Bankasınca belirlenecek</w:t>
      </w:r>
      <w:r w:rsidR="00985D5C">
        <w:t xml:space="preserve"> </w:t>
      </w:r>
      <w:r w:rsidRPr="00634C02">
        <w:t>döviz gelirlerinden yurda getirdikleri dövizi,</w:t>
      </w:r>
    </w:p>
    <w:p w14:paraId="7B0D7F01" w14:textId="77777777" w:rsidR="00634C02" w:rsidRPr="00634C02" w:rsidRDefault="00634C02" w:rsidP="00634C02">
      <w:proofErr w:type="gramStart"/>
      <w:r w:rsidRPr="00634C02">
        <w:t>ifade</w:t>
      </w:r>
      <w:proofErr w:type="gramEnd"/>
      <w:r w:rsidRPr="00634C02">
        <w:t xml:space="preserve"> eder.</w:t>
      </w:r>
    </w:p>
    <w:p w14:paraId="4FCE4631" w14:textId="77777777" w:rsidR="00634C02" w:rsidRPr="00985D5C" w:rsidRDefault="00634C02" w:rsidP="00634C02">
      <w:pPr>
        <w:rPr>
          <w:b/>
          <w:bCs/>
        </w:rPr>
      </w:pPr>
      <w:r w:rsidRPr="00985D5C">
        <w:rPr>
          <w:b/>
          <w:bCs/>
        </w:rPr>
        <w:lastRenderedPageBreak/>
        <w:t>Yurt dışı kaynaklı dövizlerin Merkez Bankasına satılmasında döviz dönüşüm desteği sağlanması</w:t>
      </w:r>
    </w:p>
    <w:p w14:paraId="3767B751" w14:textId="577C4327" w:rsidR="00634C02" w:rsidRPr="00634C02" w:rsidRDefault="00634C02" w:rsidP="00634C02">
      <w:r w:rsidRPr="00634C02">
        <w:rPr>
          <w:b/>
          <w:bCs/>
        </w:rPr>
        <w:t xml:space="preserve">MADDE 4- </w:t>
      </w:r>
      <w:r w:rsidRPr="00634C02">
        <w:t>(1) Firmaların yurt dışı kaynaklı dövizlerinin banka aracılığıyla Merkez Bankasına satışı sırasında,</w:t>
      </w:r>
      <w:r w:rsidR="00985D5C">
        <w:t xml:space="preserve"> </w:t>
      </w:r>
      <w:r w:rsidRPr="00634C02">
        <w:t>Merkez Bankasınca belirlenecek süre boyunca döviz alımı yapmama taahhüdünde bulunulması şartıyla, taahhüt</w:t>
      </w:r>
      <w:r w:rsidR="00985D5C">
        <w:t xml:space="preserve"> </w:t>
      </w:r>
      <w:r w:rsidRPr="00634C02">
        <w:t>sahibi firmalara dönüşüm kuru üzerinden Türk lirasına çevrilen tutarın yüzde 2’si kadar döviz dönüşüm desteği</w:t>
      </w:r>
      <w:r w:rsidR="00985D5C">
        <w:t xml:space="preserve"> </w:t>
      </w:r>
      <w:r w:rsidRPr="00634C02">
        <w:t>ödenir.</w:t>
      </w:r>
    </w:p>
    <w:p w14:paraId="20F07F63" w14:textId="073BB9F5" w:rsidR="00634C02" w:rsidRPr="00634C02" w:rsidRDefault="00634C02" w:rsidP="00634C02">
      <w:r w:rsidRPr="00634C02">
        <w:t>(2) Banka aracılığıyla Merkez Bankasına yapılan satış esnasında bu maddenin birinci fıkrası kapsamında alınan</w:t>
      </w:r>
      <w:r w:rsidR="00985D5C">
        <w:t xml:space="preserve"> </w:t>
      </w:r>
      <w:r w:rsidRPr="00634C02">
        <w:t>taahhütler için hesaplanan döviz dönüşüm desteği tutarı Merkez Bankasınca firmaya ödenmek üzere ilgili bankaya</w:t>
      </w:r>
      <w:r w:rsidR="00985D5C">
        <w:t xml:space="preserve"> </w:t>
      </w:r>
      <w:r w:rsidRPr="00634C02">
        <w:t>aktarılır.</w:t>
      </w:r>
    </w:p>
    <w:p w14:paraId="4553AE17" w14:textId="55290542" w:rsidR="00634C02" w:rsidRPr="00634C02" w:rsidRDefault="00634C02" w:rsidP="00634C02">
      <w:r w:rsidRPr="00634C02">
        <w:t>(3) Bu madde kapsamında Merkez Bankasına satışı yapılacak dövizlerin yurt dışı kaynaklı olduğunun tespiti</w:t>
      </w:r>
      <w:r w:rsidR="00985D5C">
        <w:t xml:space="preserve"> </w:t>
      </w:r>
      <w:r w:rsidRPr="00634C02">
        <w:t>bankaca yapılır.</w:t>
      </w:r>
    </w:p>
    <w:p w14:paraId="364A79E1" w14:textId="5BCBFFBD" w:rsidR="00634C02" w:rsidRPr="00634C02" w:rsidRDefault="00634C02" w:rsidP="00634C02">
      <w:r w:rsidRPr="00634C02">
        <w:t>(4) Bu madde kapsamında yapılan döviz dönüşüm desteği ödemelerine ilişkin usul ve esaslar Merkez Bankasınca</w:t>
      </w:r>
      <w:r w:rsidR="00985D5C">
        <w:t xml:space="preserve"> </w:t>
      </w:r>
      <w:r w:rsidRPr="00634C02">
        <w:t>belirlenir.</w:t>
      </w:r>
    </w:p>
    <w:p w14:paraId="62327830" w14:textId="77777777" w:rsidR="00634C02" w:rsidRPr="00634C02" w:rsidRDefault="00634C02" w:rsidP="00634C02"/>
    <w:p w14:paraId="4539C645" w14:textId="1D9AEEE8" w:rsidR="00634C02" w:rsidRPr="00985D5C" w:rsidRDefault="00634C02" w:rsidP="00634C02">
      <w:pPr>
        <w:rPr>
          <w:b/>
          <w:bCs/>
        </w:rPr>
      </w:pPr>
      <w:r w:rsidRPr="00985D5C">
        <w:rPr>
          <w:b/>
          <w:bCs/>
        </w:rPr>
        <w:t>Yurt dışı kaynaklı dövizlerin Türk lirası vadeli mevduat ve katılma hesaplarına dönüştürülmesinde döviz dönüşüm</w:t>
      </w:r>
      <w:r w:rsidR="00985D5C" w:rsidRPr="00985D5C">
        <w:rPr>
          <w:b/>
          <w:bCs/>
        </w:rPr>
        <w:t xml:space="preserve"> </w:t>
      </w:r>
      <w:r w:rsidRPr="00985D5C">
        <w:rPr>
          <w:b/>
          <w:bCs/>
        </w:rPr>
        <w:t>desteği sağlanması</w:t>
      </w:r>
    </w:p>
    <w:p w14:paraId="54781012" w14:textId="77128C3D" w:rsidR="00634C02" w:rsidRPr="00634C02" w:rsidRDefault="00634C02" w:rsidP="00634C02">
      <w:r w:rsidRPr="00634C02">
        <w:rPr>
          <w:b/>
          <w:bCs/>
        </w:rPr>
        <w:t xml:space="preserve">MADDE 5- </w:t>
      </w:r>
      <w:r w:rsidRPr="00634C02">
        <w:rPr>
          <w:b/>
          <w:bCs/>
          <w:i/>
          <w:iCs/>
        </w:rPr>
        <w:t xml:space="preserve">.............................yürürlükten kaldırılmıştır. </w:t>
      </w:r>
    </w:p>
    <w:p w14:paraId="20DD0DFC" w14:textId="77777777" w:rsidR="00634C02" w:rsidRPr="00634C02" w:rsidRDefault="00634C02" w:rsidP="00634C02"/>
    <w:p w14:paraId="5B6E4F0B" w14:textId="77777777" w:rsidR="00634C02" w:rsidRPr="00985D5C" w:rsidRDefault="00634C02" w:rsidP="00634C02">
      <w:pPr>
        <w:rPr>
          <w:b/>
          <w:bCs/>
        </w:rPr>
      </w:pPr>
      <w:r w:rsidRPr="00985D5C">
        <w:rPr>
          <w:b/>
          <w:bCs/>
        </w:rPr>
        <w:t>Döviz alımı yapmama taahhüdünün yerine getirilmemesi</w:t>
      </w:r>
    </w:p>
    <w:p w14:paraId="31DB3250" w14:textId="3D4C8CFE" w:rsidR="00634C02" w:rsidRPr="00634C02" w:rsidRDefault="00634C02" w:rsidP="00634C02">
      <w:r w:rsidRPr="00634C02">
        <w:rPr>
          <w:b/>
          <w:bCs/>
        </w:rPr>
        <w:t>MADDE 6</w:t>
      </w:r>
      <w:r w:rsidRPr="00634C02">
        <w:t>-(1) Bu Tebliğ kapsamında firmalarca verilen döviz alımı yapılmaması taahhüdünün yerine</w:t>
      </w:r>
      <w:r w:rsidR="00985D5C">
        <w:t xml:space="preserve"> </w:t>
      </w:r>
      <w:r w:rsidRPr="00634C02">
        <w:t>getirilmemesi, döviz dönüşüm desteğinden usulsüz olarak yararlanıldığının veya Merkez Bankasına ya da</w:t>
      </w:r>
      <w:r w:rsidR="00985D5C">
        <w:t xml:space="preserve"> </w:t>
      </w:r>
      <w:r w:rsidRPr="00634C02">
        <w:t>bankalara gerçeğe aykırı beyanda bulunulduğunun tespiti halinde döviz dönüşümü desteği tutarları ilgili dönem</w:t>
      </w:r>
      <w:r w:rsidR="00985D5C">
        <w:t xml:space="preserve"> </w:t>
      </w:r>
      <w:r w:rsidRPr="00634C02">
        <w:t>boyunca oluşan pozitif kur farkı eklenerek ve döviz dönüşümü desteğinin ödenme tarihinden taahhüdün yerine</w:t>
      </w:r>
      <w:r w:rsidR="00985D5C">
        <w:t xml:space="preserve"> </w:t>
      </w:r>
      <w:r w:rsidRPr="00634C02">
        <w:t>getirilmediğinin, usulsüz işlem yapıldığının veya Merkez Bankasına ya da bankalara gerçeğe aykırı beyanda</w:t>
      </w:r>
      <w:r w:rsidR="00985D5C">
        <w:t xml:space="preserve"> </w:t>
      </w:r>
      <w:r w:rsidRPr="00634C02">
        <w:t>bulunulduğunun tespiti tarihine kadar geçen süre için tespit tarihinde geçerli olan Merkez Bankasının ilan ettiği en</w:t>
      </w:r>
      <w:r w:rsidR="00985D5C">
        <w:t xml:space="preserve"> </w:t>
      </w:r>
      <w:r w:rsidRPr="00634C02">
        <w:t>yüksek gecelik borç verme faiz oranı üzerinden hesaplanacak faizi ile birlikte bankalarca tahsil edilerek Merkez</w:t>
      </w:r>
      <w:r w:rsidR="00985D5C">
        <w:t xml:space="preserve"> </w:t>
      </w:r>
      <w:r w:rsidRPr="00634C02">
        <w:t>Bankasına aktarılır.</w:t>
      </w:r>
    </w:p>
    <w:p w14:paraId="4125EE52" w14:textId="2593C342" w:rsidR="00634C02" w:rsidRPr="00634C02" w:rsidRDefault="00634C02" w:rsidP="00634C02">
      <w:r w:rsidRPr="00634C02">
        <w:t>(2) Aracılı ihracat sözleşmesi kapsamında Dış Ticaret Sermaye Şirketleri tarafından yurda getirilen dövizlerin Dış</w:t>
      </w:r>
      <w:r w:rsidR="00985D5C">
        <w:t xml:space="preserve"> </w:t>
      </w:r>
      <w:r w:rsidRPr="00634C02">
        <w:t>Ticaret Sermaye Şirketine ürün tedarik eden firmalar adına satışı yapılır. Bu durumda, bu Tebliğin uygulanması</w:t>
      </w:r>
      <w:r w:rsidR="00985D5C">
        <w:t xml:space="preserve"> </w:t>
      </w:r>
      <w:r w:rsidRPr="00634C02">
        <w:t>bakımından döviz satışının tedarikçi firmaca yapıldığı kabul edilir.</w:t>
      </w:r>
    </w:p>
    <w:p w14:paraId="67348FA9" w14:textId="77777777" w:rsidR="00634C02" w:rsidRPr="00634C02" w:rsidRDefault="00634C02" w:rsidP="00634C02">
      <w:r w:rsidRPr="00634C02">
        <w:t>(3) Grup firmalarının bu Tebliğ kapsamında vereceği taahhütler ana ortaklıklarını da bağlar.</w:t>
      </w:r>
    </w:p>
    <w:p w14:paraId="6678385C" w14:textId="77777777" w:rsidR="00634C02" w:rsidRPr="00634C02" w:rsidRDefault="00634C02" w:rsidP="00634C02">
      <w:r w:rsidRPr="00634C02">
        <w:lastRenderedPageBreak/>
        <w:t>(4) Bu maddenin uygulanmasına ilişkin usul ve esaslar Merkez Bankasınca belirlenir.</w:t>
      </w:r>
    </w:p>
    <w:p w14:paraId="2D1705D4" w14:textId="5F0DC11C" w:rsidR="00634C02" w:rsidRPr="00634C02" w:rsidRDefault="00634C02" w:rsidP="00634C02">
      <w:r w:rsidRPr="00634C02">
        <w:t>(5) Döviz alımı yapılmaması taahhüdünü yerine getirmeyen firmaların Merkez Bankası kaynaklı kredi kullanım</w:t>
      </w:r>
      <w:r w:rsidR="00985D5C">
        <w:t xml:space="preserve"> </w:t>
      </w:r>
      <w:r w:rsidRPr="00634C02">
        <w:t>talepleri ile bu Tebliğ kapsamındaki destek ödemesi talepleri bu maddenin birinci fıkrasında belirtilen yaptırım</w:t>
      </w:r>
      <w:r w:rsidR="00985D5C">
        <w:t xml:space="preserve"> </w:t>
      </w:r>
      <w:r w:rsidRPr="00634C02">
        <w:t>tutarının ödendiği tarihe kadar kabul edilmez. Döviz dönüşüm desteğinden usulsüz olarak yararlanan veya Merkez</w:t>
      </w:r>
      <w:r w:rsidR="00985D5C">
        <w:t xml:space="preserve"> </w:t>
      </w:r>
      <w:r w:rsidRPr="00634C02">
        <w:t>Bankasına ya da bankalara gerçeğe aykırı beyanda bulunan firmalar döviz dönüşüm desteğinden yararlandırılmaz</w:t>
      </w:r>
      <w:r w:rsidR="00985D5C">
        <w:t xml:space="preserve"> </w:t>
      </w:r>
      <w:r w:rsidRPr="00634C02">
        <w:t>ve bu firmaların Merkez Bankası kaynaklı kredi kullanım talepleri 3 yıl süre ile kabul edilmez.</w:t>
      </w:r>
    </w:p>
    <w:p w14:paraId="674758C6" w14:textId="2DB62C3C" w:rsidR="00634C02" w:rsidRPr="00634C02" w:rsidRDefault="00634C02" w:rsidP="00634C02">
      <w:r w:rsidRPr="00634C02">
        <w:t>(6) Döviz dönüşüm desteği ödemesine aracılık eden ancak Merkez Bankasınca belirlenecek kontrol</w:t>
      </w:r>
      <w:r w:rsidR="00985D5C">
        <w:t xml:space="preserve"> </w:t>
      </w:r>
      <w:r w:rsidRPr="00634C02">
        <w:t>yükümlülüklerini yerine getirmeyen bankalar bu maddenin birinci fıkrasında düzenlenen yaptırım tutarının Merkez</w:t>
      </w:r>
      <w:r w:rsidR="00985D5C">
        <w:t xml:space="preserve"> </w:t>
      </w:r>
      <w:r w:rsidRPr="00634C02">
        <w:t>Bankasına ödenmesinden sorumludur.</w:t>
      </w:r>
    </w:p>
    <w:p w14:paraId="37259E10" w14:textId="69616D97" w:rsidR="00634C02" w:rsidRPr="00634C02" w:rsidRDefault="00634C02" w:rsidP="00634C02"/>
    <w:p w14:paraId="3EEF6258" w14:textId="77777777" w:rsidR="00985D5C" w:rsidRDefault="00634C02" w:rsidP="00634C02">
      <w:r w:rsidRPr="00634C02">
        <w:rPr>
          <w:b/>
          <w:bCs/>
        </w:rPr>
        <w:t xml:space="preserve">GEÇİCİ MADDE 1- </w:t>
      </w:r>
      <w:r w:rsidRPr="00634C02">
        <w:t xml:space="preserve">(1) Bu Tebliğin </w:t>
      </w:r>
      <w:proofErr w:type="gramStart"/>
      <w:r w:rsidRPr="00634C02">
        <w:t>4 üncü</w:t>
      </w:r>
      <w:proofErr w:type="gramEnd"/>
      <w:r w:rsidRPr="00634C02">
        <w:t xml:space="preserve"> maddesinin birinci fıkrasında yüzde 2 olarak belirlenmiş olan döviz</w:t>
      </w:r>
      <w:r w:rsidR="00985D5C">
        <w:t xml:space="preserve"> </w:t>
      </w:r>
      <w:r w:rsidRPr="00634C02">
        <w:t>dönüşüm desteği oranı bu maddenin yürürlüğe girdiği tarihten 31/10/2025 tarihine kadar (bu tarih dahil) yüzde 3olarak uygulanır.</w:t>
      </w:r>
    </w:p>
    <w:p w14:paraId="392DA880" w14:textId="59B63A82" w:rsidR="00634C02" w:rsidRPr="00634C02" w:rsidRDefault="00634C02" w:rsidP="00634C02">
      <w:r w:rsidRPr="00634C02">
        <w:t>Yürürlük</w:t>
      </w:r>
    </w:p>
    <w:p w14:paraId="27A6046D" w14:textId="77777777" w:rsidR="00634C02" w:rsidRPr="00634C02" w:rsidRDefault="00634C02" w:rsidP="00634C02">
      <w:r w:rsidRPr="00634C02">
        <w:rPr>
          <w:b/>
          <w:bCs/>
        </w:rPr>
        <w:t xml:space="preserve">MADDE 7- </w:t>
      </w:r>
      <w:r w:rsidRPr="00634C02">
        <w:t>(1) Bu Tebliğ yayımı tarihinde yürürlüğe girer.</w:t>
      </w:r>
    </w:p>
    <w:p w14:paraId="27049FD8" w14:textId="77777777" w:rsidR="00634C02" w:rsidRPr="00634C02" w:rsidRDefault="00634C02" w:rsidP="00634C02">
      <w:r w:rsidRPr="00634C02">
        <w:t>Yürütme</w:t>
      </w:r>
    </w:p>
    <w:p w14:paraId="7774D790" w14:textId="77777777" w:rsidR="00634C02" w:rsidRPr="00634C02" w:rsidRDefault="00634C02" w:rsidP="00634C02">
      <w:r w:rsidRPr="00634C02">
        <w:rPr>
          <w:b/>
          <w:bCs/>
        </w:rPr>
        <w:t xml:space="preserve">MADDE 8- </w:t>
      </w:r>
      <w:r w:rsidRPr="00634C02">
        <w:t xml:space="preserve">(1) Bu Tebliğ hükümlerini Türkiye Cumhuriyet Merkez Bankası Başkanı yürütür. </w:t>
      </w:r>
    </w:p>
    <w:p w14:paraId="1AA3B969" w14:textId="40CBC433" w:rsidR="000658B4" w:rsidRDefault="000658B4" w:rsidP="00634C02"/>
    <w:sectPr w:rsidR="0006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02"/>
    <w:rsid w:val="0005045C"/>
    <w:rsid w:val="000658B4"/>
    <w:rsid w:val="00372F04"/>
    <w:rsid w:val="00634C02"/>
    <w:rsid w:val="006802DA"/>
    <w:rsid w:val="009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0DB5E"/>
  <w15:chartTrackingRefBased/>
  <w15:docId w15:val="{EBF404C4-21E9-422D-916C-F3CCFDF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4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4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4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4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4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4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4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4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4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4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4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4C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4C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4C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4C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4C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4C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4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4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4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4C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4C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4C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4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4C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4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Bozan</dc:creator>
  <cp:keywords/>
  <dc:description/>
  <cp:lastModifiedBy>Oğuz Bozan</cp:lastModifiedBy>
  <cp:revision>2</cp:revision>
  <dcterms:created xsi:type="dcterms:W3CDTF">2025-08-04T08:31:00Z</dcterms:created>
  <dcterms:modified xsi:type="dcterms:W3CDTF">2025-08-04T08:41:00Z</dcterms:modified>
</cp:coreProperties>
</file>